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DB39" w14:textId="77777777" w:rsidR="00602EBD" w:rsidRPr="00845FCE" w:rsidRDefault="00602EBD">
      <w:pPr>
        <w:rPr>
          <w:lang w:val="sr-Cyrl-RS"/>
        </w:rPr>
      </w:pPr>
    </w:p>
    <w:tbl>
      <w:tblPr>
        <w:tblpPr w:leftFromText="180" w:rightFromText="180" w:vertAnchor="text" w:horzAnchor="margin" w:tblpY="-411"/>
        <w:tblW w:w="6521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DAEEF3"/>
        <w:tblLook w:val="04A0" w:firstRow="1" w:lastRow="0" w:firstColumn="1" w:lastColumn="0" w:noHBand="0" w:noVBand="1"/>
      </w:tblPr>
      <w:tblGrid>
        <w:gridCol w:w="2268"/>
        <w:gridCol w:w="4253"/>
      </w:tblGrid>
      <w:tr w:rsidR="0054230D" w14:paraId="04BFD338" w14:textId="77777777" w:rsidTr="0054230D">
        <w:tc>
          <w:tcPr>
            <w:tcW w:w="6521" w:type="dxa"/>
            <w:gridSpan w:val="2"/>
            <w:tcBorders>
              <w:top w:val="none" w:sz="255" w:space="0" w:color="FFFFFF"/>
              <w:left w:val="none" w:sz="255" w:space="0" w:color="FFFFFF"/>
              <w:bottom w:val="single" w:sz="8" w:space="0" w:color="7BA0CD"/>
              <w:right w:val="none" w:sz="255" w:space="0" w:color="FFFFFF"/>
            </w:tcBorders>
          </w:tcPr>
          <w:p w14:paraId="0084E131" w14:textId="77777777" w:rsidR="0054230D" w:rsidRDefault="00AF6C3A" w:rsidP="0054230D">
            <w:pPr>
              <w:spacing w:before="120" w:after="0" w:line="240" w:lineRule="auto"/>
              <w:rPr>
                <w:b/>
                <w:bCs/>
                <w:color w:val="0070C0"/>
                <w:sz w:val="28"/>
              </w:rPr>
            </w:pPr>
            <w:r>
              <w:rPr>
                <w:b/>
                <w:bCs/>
                <w:color w:val="0070C0"/>
                <w:sz w:val="28"/>
                <w:lang w:val="sr-Cyrl-RS"/>
              </w:rPr>
              <w:t>АЕРС  - Завршна консултација о предлогу акта</w:t>
            </w:r>
          </w:p>
        </w:tc>
      </w:tr>
      <w:tr w:rsidR="0054230D" w14:paraId="5EEB3318" w14:textId="77777777" w:rsidTr="0054230D">
        <w:trPr>
          <w:trHeight w:val="788"/>
        </w:trPr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8BE1FF"/>
            <w:vAlign w:val="center"/>
          </w:tcPr>
          <w:p w14:paraId="4E16CA95" w14:textId="77777777" w:rsidR="0054230D" w:rsidRDefault="00AF6C3A" w:rsidP="0054230D">
            <w:pPr>
              <w:spacing w:before="120" w:after="0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Документ:</w:t>
            </w:r>
          </w:p>
        </w:tc>
        <w:tc>
          <w:tcPr>
            <w:tcW w:w="42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CC"/>
            <w:vAlign w:val="center"/>
          </w:tcPr>
          <w:p w14:paraId="5B66A727" w14:textId="77777777" w:rsidR="00AF6C3A" w:rsidRPr="009E12CD" w:rsidRDefault="00AF6C3A" w:rsidP="00AF6C3A">
            <w:pPr>
              <w:pStyle w:val="NoSpacing"/>
              <w:jc w:val="both"/>
              <w:rPr>
                <w:rFonts w:ascii="Arial Narrow" w:hAnsi="Arial Narrow"/>
                <w:lang w:val="sr-Cyrl-RS"/>
              </w:rPr>
            </w:pPr>
            <w:r w:rsidRPr="009E12CD">
              <w:rPr>
                <w:rFonts w:ascii="Arial Narrow" w:hAnsi="Arial Narrow"/>
                <w:lang w:val="sr-Cyrl-RS"/>
              </w:rPr>
              <w:t>Mетодологија за одређивање цене приступа систему за транспорт природног гаса</w:t>
            </w:r>
          </w:p>
          <w:p w14:paraId="0C2768C6" w14:textId="77777777" w:rsidR="0054230D" w:rsidRDefault="0054230D" w:rsidP="0054230D">
            <w:pPr>
              <w:spacing w:after="0" w:line="240" w:lineRule="auto"/>
              <w:ind w:right="-111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54230D" w14:paraId="44C72044" w14:textId="77777777" w:rsidTr="0054230D"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4" w:space="0" w:color="0070C0"/>
              <w:right w:val="single" w:sz="8" w:space="0" w:color="7BA0CD"/>
            </w:tcBorders>
            <w:shd w:val="clear" w:color="auto" w:fill="8BE1FF"/>
          </w:tcPr>
          <w:p w14:paraId="0013FE48" w14:textId="77777777" w:rsidR="0054230D" w:rsidRDefault="00AF6C3A" w:rsidP="0054230D">
            <w:pPr>
              <w:spacing w:before="120" w:after="0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Примедбе даје:</w:t>
            </w:r>
          </w:p>
        </w:tc>
        <w:tc>
          <w:tcPr>
            <w:tcW w:w="4253" w:type="dxa"/>
            <w:tcBorders>
              <w:top w:val="single" w:sz="8" w:space="0" w:color="7BA0CD"/>
              <w:left w:val="single" w:sz="8" w:space="0" w:color="7BA0CD"/>
              <w:bottom w:val="single" w:sz="4" w:space="0" w:color="0070C0"/>
              <w:right w:val="single" w:sz="8" w:space="0" w:color="7BA0CD"/>
            </w:tcBorders>
            <w:shd w:val="clear" w:color="auto" w:fill="FFFFCC"/>
            <w:vAlign w:val="center"/>
          </w:tcPr>
          <w:p w14:paraId="1A0ECC7A" w14:textId="77777777" w:rsidR="0054230D" w:rsidRDefault="0054230D" w:rsidP="0054230D">
            <w:pPr>
              <w:spacing w:before="120" w:after="0"/>
              <w:rPr>
                <w:b/>
              </w:rPr>
            </w:pPr>
            <w:r>
              <w:rPr>
                <w:rFonts w:ascii="Arial Narrow" w:eastAsia="Times New Roman" w:hAnsi="Arial Narrow"/>
                <w:b/>
              </w:rPr>
              <w:t>Gazprom export LLC</w:t>
            </w:r>
          </w:p>
        </w:tc>
      </w:tr>
    </w:tbl>
    <w:p w14:paraId="262D9DD3" w14:textId="77777777" w:rsidR="0059327C" w:rsidRDefault="0059327C">
      <w:pPr>
        <w:spacing w:after="0"/>
        <w:rPr>
          <w:vanish/>
        </w:rPr>
      </w:pPr>
    </w:p>
    <w:tbl>
      <w:tblPr>
        <w:tblW w:w="6521" w:type="dxa"/>
        <w:tblInd w:w="67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DAEEF3"/>
        <w:tblLook w:val="04A0" w:firstRow="1" w:lastRow="0" w:firstColumn="1" w:lastColumn="0" w:noHBand="0" w:noVBand="1"/>
      </w:tblPr>
      <w:tblGrid>
        <w:gridCol w:w="2268"/>
        <w:gridCol w:w="4253"/>
      </w:tblGrid>
      <w:tr w:rsidR="0059327C" w14:paraId="2B735F6D" w14:textId="77777777"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single" w:sz="4" w:space="0" w:color="A6A6A6"/>
              <w:right w:val="none" w:sz="255" w:space="0" w:color="FFFFFF"/>
            </w:tcBorders>
          </w:tcPr>
          <w:p w14:paraId="3F0C761A" w14:textId="77777777" w:rsidR="0059327C" w:rsidRDefault="0059327C">
            <w:pPr>
              <w:spacing w:before="120" w:after="0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none" w:sz="255" w:space="0" w:color="FFFFFF"/>
              <w:left w:val="none" w:sz="255" w:space="0" w:color="FFFFFF"/>
              <w:bottom w:val="single" w:sz="4" w:space="0" w:color="A6A6A6"/>
              <w:right w:val="none" w:sz="255" w:space="0" w:color="FFFFFF"/>
            </w:tcBorders>
          </w:tcPr>
          <w:p w14:paraId="5C1BA41A" w14:textId="77777777" w:rsidR="0059327C" w:rsidRDefault="0059327C">
            <w:pPr>
              <w:spacing w:before="120" w:after="0"/>
            </w:pPr>
          </w:p>
        </w:tc>
      </w:tr>
      <w:tr w:rsidR="0059327C" w14:paraId="6FF4A4DF" w14:textId="77777777">
        <w:tc>
          <w:tcPr>
            <w:tcW w:w="2268" w:type="dxa"/>
            <w:tcBorders>
              <w:top w:val="single" w:sz="4" w:space="0" w:color="A6A6A6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8BE1FF"/>
          </w:tcPr>
          <w:p w14:paraId="0420943F" w14:textId="77777777" w:rsidR="0059327C" w:rsidRDefault="00AF6C3A">
            <w:pPr>
              <w:spacing w:before="120" w:after="0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Датум:</w:t>
            </w:r>
          </w:p>
        </w:tc>
        <w:tc>
          <w:tcPr>
            <w:tcW w:w="4253" w:type="dxa"/>
            <w:tcBorders>
              <w:top w:val="single" w:sz="4" w:space="0" w:color="A6A6A6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CC"/>
          </w:tcPr>
          <w:p w14:paraId="70E3D87A" w14:textId="77777777" w:rsidR="0059327C" w:rsidRDefault="00EF62B4">
            <w:pPr>
              <w:spacing w:before="120" w:after="0"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24.05.2024</w:t>
            </w:r>
          </w:p>
        </w:tc>
      </w:tr>
      <w:tr w:rsidR="0059327C" w14:paraId="4E5FC70C" w14:textId="77777777"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8BE1FF"/>
          </w:tcPr>
          <w:p w14:paraId="1765F63A" w14:textId="77777777" w:rsidR="0059327C" w:rsidRDefault="00AF6C3A">
            <w:pPr>
              <w:spacing w:before="120" w:after="0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Послати на адресу:</w:t>
            </w:r>
          </w:p>
        </w:tc>
        <w:tc>
          <w:tcPr>
            <w:tcW w:w="42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8BE1FF"/>
          </w:tcPr>
          <w:p w14:paraId="3DA3C23F" w14:textId="77777777" w:rsidR="0059327C" w:rsidRDefault="00EF62B4">
            <w:pPr>
              <w:spacing w:before="120" w:after="0"/>
              <w:jc w:val="center"/>
              <w:rPr>
                <w:rFonts w:ascii="Arial" w:hAnsi="Arial" w:cs="Arial"/>
                <w:color w:val="000066"/>
                <w:sz w:val="24"/>
                <w:szCs w:val="20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sz w:val="24"/>
                  <w:szCs w:val="20"/>
                </w:rPr>
                <w:t>aers@aers.rs</w:t>
              </w:r>
            </w:hyperlink>
            <w:r>
              <w:rPr>
                <w:rFonts w:ascii="Arial" w:hAnsi="Arial" w:cs="Arial"/>
                <w:color w:val="000066"/>
                <w:sz w:val="24"/>
                <w:szCs w:val="20"/>
              </w:rPr>
              <w:t xml:space="preserve"> </w:t>
            </w:r>
          </w:p>
        </w:tc>
      </w:tr>
    </w:tbl>
    <w:p w14:paraId="4B64013C" w14:textId="77777777" w:rsidR="0054230D" w:rsidRDefault="0054230D" w:rsidP="00542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6902786" w14:textId="77777777" w:rsidR="00AF6C3A" w:rsidRPr="00C24D84" w:rsidRDefault="00AF6C3A" w:rsidP="00AF6C3A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lang w:val="sr-Cyrl-RS"/>
        </w:rPr>
      </w:pPr>
      <w:r w:rsidRPr="00C24D84">
        <w:rPr>
          <w:rFonts w:ascii="Arial Narrow" w:hAnsi="Arial Narrow"/>
          <w:b/>
          <w:sz w:val="24"/>
          <w:szCs w:val="24"/>
          <w:lang w:val="sr-Cyrl-RS"/>
        </w:rPr>
        <w:t xml:space="preserve">ОПШТЕ </w:t>
      </w:r>
      <w:r>
        <w:rPr>
          <w:rFonts w:ascii="Arial Narrow" w:hAnsi="Arial Narrow"/>
          <w:b/>
          <w:sz w:val="24"/>
          <w:szCs w:val="24"/>
          <w:lang w:val="sr-Cyrl-RS"/>
        </w:rPr>
        <w:t xml:space="preserve">И КОНЦЕПТУАЛНЕ </w:t>
      </w:r>
      <w:r w:rsidRPr="00C24D84">
        <w:rPr>
          <w:rFonts w:ascii="Arial Narrow" w:hAnsi="Arial Narrow"/>
          <w:b/>
          <w:sz w:val="24"/>
          <w:szCs w:val="24"/>
          <w:lang w:val="sr-Cyrl-RS"/>
        </w:rPr>
        <w:t>ПРИМЕДБЕ</w:t>
      </w:r>
    </w:p>
    <w:p w14:paraId="73491984" w14:textId="77777777" w:rsidR="0054230D" w:rsidRDefault="0054230D" w:rsidP="00542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1556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4660"/>
      </w:tblGrid>
      <w:tr w:rsidR="0059327C" w14:paraId="772F62F0" w14:textId="77777777">
        <w:tc>
          <w:tcPr>
            <w:tcW w:w="909" w:type="dxa"/>
            <w:shd w:val="clear" w:color="auto" w:fill="FFFFCD"/>
            <w:vAlign w:val="center"/>
          </w:tcPr>
          <w:p w14:paraId="5664D4FD" w14:textId="77777777" w:rsidR="0059327C" w:rsidRDefault="00AF6C3A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77AB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14660" w:type="dxa"/>
            <w:tcBorders>
              <w:bottom w:val="single" w:sz="4" w:space="0" w:color="000000"/>
            </w:tcBorders>
            <w:shd w:val="clear" w:color="auto" w:fill="FFFFCD"/>
            <w:vAlign w:val="center"/>
          </w:tcPr>
          <w:p w14:paraId="754BC772" w14:textId="77777777" w:rsidR="0059327C" w:rsidRDefault="00AF6C3A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24D84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ПРИМЕДБА</w:t>
            </w:r>
            <w:r>
              <w:rPr>
                <w:rFonts w:ascii="Arial Narrow" w:hAnsi="Arial Narrow"/>
                <w:b/>
                <w:sz w:val="24"/>
                <w:szCs w:val="24"/>
                <w:lang w:val="sr-Cyrl-RS"/>
              </w:rPr>
              <w:t xml:space="preserve"> / КОМЕНТАР</w:t>
            </w:r>
          </w:p>
        </w:tc>
      </w:tr>
      <w:tr w:rsidR="0059327C" w14:paraId="6DB7B7B6" w14:textId="77777777">
        <w:trPr>
          <w:trHeight w:val="264"/>
        </w:trPr>
        <w:tc>
          <w:tcPr>
            <w:tcW w:w="909" w:type="dxa"/>
            <w:vAlign w:val="center"/>
          </w:tcPr>
          <w:p w14:paraId="6FF37B35" w14:textId="77777777" w:rsidR="0059327C" w:rsidRDefault="00EF62B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660" w:type="dxa"/>
            <w:shd w:val="clear" w:color="FFFFFF" w:fill="FFFFFF"/>
          </w:tcPr>
          <w:p w14:paraId="6ACAA15A" w14:textId="77777777" w:rsidR="00734171" w:rsidRDefault="00734171" w:rsidP="00920CE8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Тренутни приступ ПСГ Банатски Двор захтева уговарање капацитета са два ОТС-а и плаћање тарифа за улаз и излаз на оба система (нпр. ГАСТРАНС д</w:t>
            </w:r>
            <w:r w:rsidR="000D4B53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0D4B53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0D4B53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Нови Сад и Транспортгас Србија д.о.о.) што доводи</w:t>
            </w:r>
            <w:r w:rsidR="000D4B5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до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ниске економск</w:t>
            </w:r>
            <w:r w:rsidR="000D4B53">
              <w:rPr>
                <w:rFonts w:ascii="Arial Narrow" w:hAnsi="Arial Narrow"/>
                <w:sz w:val="20"/>
                <w:szCs w:val="20"/>
                <w:lang w:val="sr-Cyrl-RS"/>
              </w:rPr>
              <w:t>е атрактивности за коришћење под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земног складишта. У</w:t>
            </w:r>
            <w:r w:rsidR="00442C1C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том смислу, Методологија за ут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врђивање тарифа за транспорт природног гаса треба да примени приступ који се односи на примену 100% попуста на тарифе за капацитет транспортних и дистрибутивних тарифа на улазним/излазним тачкама из/у транспортни систем које се односе на утискивање/повлачење  из подземног складишта у циљу подстицања </w:t>
            </w:r>
            <w:r w:rsidR="005711D9">
              <w:rPr>
                <w:rFonts w:ascii="Arial Narrow" w:hAnsi="Arial Narrow"/>
                <w:sz w:val="20"/>
                <w:szCs w:val="20"/>
                <w:lang w:val="sr-Cyrl-RS"/>
              </w:rPr>
              <w:t>учесника на тржишту да користе подземно складиште. Овакав приступ ће обезбедити енергетску бе</w:t>
            </w:r>
            <w:r w:rsidR="000D4B53">
              <w:rPr>
                <w:rFonts w:ascii="Arial Narrow" w:hAnsi="Arial Narrow"/>
                <w:sz w:val="20"/>
                <w:szCs w:val="20"/>
                <w:lang w:val="sr-Cyrl-RS"/>
              </w:rPr>
              <w:t>збедност Републике Србије и дов</w:t>
            </w:r>
            <w:r w:rsidR="005711D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ести до побољшања услова за купце смањењем трошкова транспорта снабдевача.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  </w:t>
            </w:r>
          </w:p>
          <w:p w14:paraId="7A9CF8B2" w14:textId="77777777" w:rsidR="00734171" w:rsidRDefault="00DB11A6" w:rsidP="00920CE8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Такав приступ ће такође повећати ефикасност коришћења капацитета подз</w:t>
            </w:r>
            <w:r w:rsidR="000D4B53">
              <w:rPr>
                <w:rFonts w:ascii="Arial Narrow" w:hAnsi="Arial Narrow"/>
                <w:sz w:val="20"/>
                <w:szCs w:val="20"/>
                <w:lang w:val="sr-Cyrl-RS"/>
              </w:rPr>
              <w:t>ем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ног складишта и биће усклађен са тренутном шемом два српска ОТС-а Транспортгас Србија д.о.о. и Југоросгаз – Транспорт д.о.о. који омогућава елиминацију транспортних и дистрибутивних тарифа за капацитет за кориснике. </w:t>
            </w:r>
          </w:p>
          <w:p w14:paraId="72FDC05E" w14:textId="77777777" w:rsidR="00442C1C" w:rsidRPr="00EF4C71" w:rsidRDefault="00442C1C" w:rsidP="00DB11A6">
            <w:pPr>
              <w:spacing w:before="120" w:after="120" w:line="240" w:lineRule="auto"/>
              <w:rPr>
                <w:rFonts w:ascii="Arial Narrow" w:hAnsi="Arial Narrow"/>
                <w:b/>
                <w:color w:val="00B050"/>
                <w:sz w:val="20"/>
                <w:szCs w:val="20"/>
                <w:lang w:val="sr-Cyrl-RS"/>
              </w:rPr>
            </w:pPr>
            <w:r w:rsidRPr="00EF4C71">
              <w:rPr>
                <w:rFonts w:ascii="Arial Narrow" w:hAnsi="Arial Narrow"/>
                <w:b/>
                <w:color w:val="00B050"/>
                <w:sz w:val="20"/>
                <w:szCs w:val="20"/>
                <w:lang w:val="sr-Cyrl-RS"/>
              </w:rPr>
              <w:t>Одговор АЕРС:</w:t>
            </w:r>
          </w:p>
          <w:p w14:paraId="0BC9D229" w14:textId="77777777" w:rsidR="00442C1C" w:rsidRPr="00920CE8" w:rsidRDefault="00D45952" w:rsidP="00920CE8">
            <w:pPr>
              <w:spacing w:before="120" w:after="120" w:line="240" w:lineRule="auto"/>
              <w:jc w:val="both"/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</w:pPr>
            <w:r w:rsidRPr="00920CE8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Уредба</w:t>
            </w:r>
            <w:r w:rsidR="00FB3388" w:rsidRPr="00920CE8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 о мрежним правилима о хармонизованим тарифама за транспорт природног гаса („Службени гласник РС“, број 112/22) - (у даљем тексту Уредба) у члану 9. дефинише да Агенција у Методологији одређује попуст од најмање 50% који се примењује на тарифе за транспорт засноване на капацитету на улазним тачкама из складишта и излазним тачкама у складишта природног гаса</w:t>
            </w:r>
            <w:r w:rsidR="00FB3388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.</w:t>
            </w:r>
          </w:p>
          <w:p w14:paraId="589013AF" w14:textId="3C40473A" w:rsidR="00FB3388" w:rsidRPr="00920CE8" w:rsidRDefault="00FB3388" w:rsidP="00920CE8">
            <w:pPr>
              <w:spacing w:before="120" w:after="120" w:line="240" w:lineRule="auto"/>
              <w:jc w:val="both"/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</w:pP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АЕРС је у Методологији одредио попуст у складу са чланом 9. </w:t>
            </w:r>
            <w:r w:rsidR="001D0EC3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Уредбе</w:t>
            </w: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. </w:t>
            </w:r>
          </w:p>
          <w:p w14:paraId="2A500188" w14:textId="140E51E1" w:rsidR="00876290" w:rsidRPr="00920CE8" w:rsidRDefault="00676DC4" w:rsidP="00920CE8">
            <w:pPr>
              <w:spacing w:before="120" w:after="120" w:line="240" w:lineRule="auto"/>
              <w:jc w:val="both"/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</w:pP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Агенција је, у складу са чланом 10. Уредбе, утврдила Методологију за одређивање реферетне цене </w:t>
            </w:r>
            <w:r w:rsidR="00D45952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за транспорт природног гаса </w:t>
            </w: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коју заједнички примењују </w:t>
            </w:r>
            <w:r w:rsidR="00FB3388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Транспортгас Србија д.о.о. и </w:t>
            </w:r>
            <w:r w:rsidR="00FB3388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Latn-RS"/>
              </w:rPr>
              <w:t xml:space="preserve">Yugorosgaz-transport d.o.o. </w:t>
            </w: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тако што</w:t>
            </w:r>
            <w:r w:rsidR="00845FCE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су два транспорта система </w:t>
            </w:r>
            <w:r w:rsidR="004F6238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посматран</w:t>
            </w: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а</w:t>
            </w:r>
            <w:r w:rsidR="0087629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као целин</w:t>
            </w:r>
            <w:r w:rsidR="004F6238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а, </w:t>
            </w: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а </w:t>
            </w:r>
            <w:r w:rsidR="00D45952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обавезна је </w:t>
            </w: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приме</w:t>
            </w:r>
            <w:r w:rsidR="00D45952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на </w:t>
            </w: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механизам</w:t>
            </w:r>
            <w:r w:rsidR="00D45952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а</w:t>
            </w:r>
            <w:r w:rsidR="004F6238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за компензацију</w:t>
            </w: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између ова два оператора транспортних система.</w:t>
            </w:r>
            <w:r w:rsidR="0087629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Заједничка примена Методологије омогућава да се </w:t>
            </w:r>
            <w:r w:rsidR="00D45952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корисницима транспортног система </w:t>
            </w:r>
            <w:r w:rsidR="0087629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поједностави уговарање капацитета тако што</w:t>
            </w:r>
            <w:r w:rsidR="001C031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Latn-RS"/>
              </w:rPr>
              <w:t xml:space="preserve"> </w:t>
            </w:r>
            <w:r w:rsidR="001C031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се</w:t>
            </w:r>
            <w:r w:rsidR="0087629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не наплаћују капацитети између два транспортна </w:t>
            </w:r>
            <w:r w:rsidR="001C031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система на </w:t>
            </w:r>
            <w:r w:rsidR="0087629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кој</w:t>
            </w:r>
            <w:r w:rsidR="001C031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е се </w:t>
            </w:r>
            <w:r w:rsidR="0087629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примењуј</w:t>
            </w:r>
            <w:r w:rsidR="001C031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е</w:t>
            </w:r>
            <w:r w:rsidR="0087629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Методологиј</w:t>
            </w:r>
            <w:r w:rsidR="001C031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а</w:t>
            </w:r>
            <w:r w:rsidR="0087629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(не наплаћује их ни Транспортгас Србија д.о.о. ни </w:t>
            </w:r>
            <w:r w:rsidR="0087629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Latn-RS"/>
              </w:rPr>
              <w:t>Yugorosgaz</w:t>
            </w:r>
            <w:r w:rsidR="001C031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</w:t>
            </w:r>
            <w:r w:rsidR="001C031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Latn-RS"/>
              </w:rPr>
              <w:t>T</w:t>
            </w:r>
            <w:r w:rsidR="0087629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Latn-RS"/>
              </w:rPr>
              <w:t>ransport d.o.o.</w:t>
            </w:r>
            <w:r w:rsidR="00D45952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). Механизми за компензацију</w:t>
            </w:r>
            <w:r w:rsidR="0087629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се користе ради поравнавања разлика између прихода остварених применом цене приступа одређене за више транспортних система посматраних као целина и цена које се одређују у складу</w:t>
            </w:r>
            <w:r w:rsidR="00D45952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</w:t>
            </w:r>
            <w:r w:rsidR="0087629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са Методологијом за сваки транспортни систем појединачно. </w:t>
            </w:r>
          </w:p>
          <w:p w14:paraId="5A5799E4" w14:textId="03E5ED5A" w:rsidR="00442C1C" w:rsidRPr="00442C1C" w:rsidRDefault="00876290" w:rsidP="00920CE8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У члану 2. став 2</w:t>
            </w:r>
            <w:r w:rsidR="00D45952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.</w:t>
            </w: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Уредбе је наведено да се она не примењује на део капацитета на улазни</w:t>
            </w:r>
            <w:r w:rsidR="00D45952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м</w:t>
            </w: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односно изл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а</w:t>
            </w:r>
            <w:r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зним тачака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ма транспортног система на који се примењује режим изузећа од примене регулисаних цена које је одобрио АЕРС. Гастранс д.о.о. примењује своју </w:t>
            </w:r>
            <w:r w:rsidR="001C031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Latn-RS"/>
              </w:rPr>
              <w:t>M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етодологију </w:t>
            </w:r>
            <w:r w:rsidR="00D45952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за одређивање реферетне цене 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к</w:t>
            </w:r>
            <w:r w:rsidR="00D45952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оја се разликује од Методологије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за одређивање реферетне цене коју заједнички примењују Транспортгас Србија д.о.о. и 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Latn-RS"/>
              </w:rPr>
              <w:t>Yugorosgaz</w:t>
            </w:r>
            <w:r w:rsidR="001C031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Latn-RS"/>
              </w:rPr>
              <w:t xml:space="preserve"> T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Latn-RS"/>
              </w:rPr>
              <w:t>ransport d.o.o.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 Због тога </w:t>
            </w:r>
            <w:r w:rsidR="001C0310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се 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на тачкама интерконекције између Транспортгас Србија д.о.о. и  Гастранс д.о.о. не могу примењивати одредбе из Методологије кој</w:t>
            </w:r>
            <w:r w:rsidR="00845FCE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има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</w:t>
            </w:r>
            <w:r w:rsidR="00845FCE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се транспортни системи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посматра</w:t>
            </w:r>
            <w:r w:rsidR="00845FCE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ју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као целина, јер се</w:t>
            </w:r>
            <w:r w:rsidR="00BF65B6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,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између осталог, не мо</w:t>
            </w:r>
            <w:r w:rsidR="00845FCE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же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применити механизам за компензацију између Транспортгас Србија д.о.о. и  Гастранс д.о.о. којим се поравнава разлика између прихода остварених применом цене приступа одређене за више транспортних система посматраних као целина и цена које се одређују у складу</w:t>
            </w:r>
            <w:r w:rsidR="00BF65B6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са Методологијом за сваки транспортни систем појединачно.</w:t>
            </w:r>
            <w:r w:rsidR="00F12AA5" w:rsidRPr="00920CE8">
              <w:rPr>
                <w:rFonts w:ascii="Arial Narrow" w:eastAsia="Times New Roman" w:hAnsi="Arial Narrow" w:cs="Courier New"/>
                <w:color w:val="00B050"/>
                <w:sz w:val="24"/>
                <w:szCs w:val="24"/>
                <w:lang w:val="sr-Cyrl-RS"/>
              </w:rPr>
              <w:t xml:space="preserve"> </w:t>
            </w:r>
            <w:r w:rsidR="00F12AA5">
              <w:rPr>
                <w:rFonts w:ascii="Arial Narrow" w:eastAsia="Times New Roman" w:hAnsi="Arial Narrow" w:cs="Courier New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eastAsia="Times New Roman" w:hAnsi="Arial Narrow" w:cs="Courier New"/>
                <w:sz w:val="24"/>
                <w:szCs w:val="24"/>
                <w:lang w:val="sr-Cyrl-RS"/>
              </w:rPr>
              <w:t xml:space="preserve">  </w:t>
            </w:r>
            <w:r w:rsidR="004F6238">
              <w:rPr>
                <w:rFonts w:ascii="Arial Narrow" w:eastAsia="Times New Roman" w:hAnsi="Arial Narrow" w:cs="Courier New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9327C" w14:paraId="27FB9C7A" w14:textId="77777777">
        <w:tc>
          <w:tcPr>
            <w:tcW w:w="909" w:type="dxa"/>
            <w:vAlign w:val="center"/>
          </w:tcPr>
          <w:p w14:paraId="3C0FB2EF" w14:textId="77777777" w:rsidR="0059327C" w:rsidRDefault="00EF62B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60" w:type="dxa"/>
            <w:shd w:val="clear" w:color="auto" w:fill="FFFFFF"/>
          </w:tcPr>
          <w:p w14:paraId="4150515E" w14:textId="77777777" w:rsidR="003C1015" w:rsidRPr="003C1015" w:rsidRDefault="003C1015" w:rsidP="00B82D06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Имајући у виду намеру хармонизације законодавства  у енергетици Србије са европским енергетским прописима, Методологија за утврђивање тарифа за транспорт природног гаса треба да се заснива и на допунама Уредбе (ЕУ) 2022/1032 Европског парлам</w:t>
            </w:r>
            <w:r w:rsidR="001A59C3">
              <w:rPr>
                <w:rFonts w:ascii="Arial Narrow" w:hAnsi="Arial Narrow"/>
                <w:sz w:val="20"/>
                <w:szCs w:val="20"/>
                <w:lang w:val="sr-Cyrl-RS"/>
              </w:rPr>
              <w:t>е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нета и Савета од 29. јуна 2022. године у вези са гасним складиштима, посебно чланом 2. Уредбе (ЕУ) 2022/1032 о изменама и допунама члана 13.3 у вези са применом попуста до 100% на транспортне и дистрибутивне тарифе за капацитет на улазним тачакама</w:t>
            </w:r>
            <w:r w:rsidR="006B6BB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из, и излазним тачкама у подземна складишта природног гаса, осим ако и у мери у којој се такав објекат који је повезан на више од једног транспортног или дистрибутивног система користи за конкуренцију са тачком интерконекције.   </w:t>
            </w:r>
          </w:p>
          <w:p w14:paraId="414E551F" w14:textId="77777777" w:rsidR="003C1015" w:rsidRDefault="006B6BB8" w:rsidP="00B82D06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При томе, под претпоставком сличности објављене Методологија за утврђивање тарифа за транспорт природног гаса са логиком тарифне методологије мађарског оператора транспортног система 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FGSZ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и тарифне методологије бугарског оператора транспортног система 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Bulgatransgaz EAD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, у циљу обезбеђивања енергетске безбедности Републике Србије и обезбеђења доследности тарифне регулације са суседним европским операторима транспортног система, посебно Методологије за утврђивање тарифа за транспорт природног гаса, предлажемо да се примени сличан приступ као код оператора 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FGSZ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и 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Bulgatransgaz EAD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у погледу примене 100% попуста на транспортне и дистрибутивне тарифе за капацитет на  излазним тачкама у подземна складишта природног гаса, као и попуст од 100% (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Bulgatransgaz EAD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) или 90% (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FGSZ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)  на транспортне и дистрибутивне тарифе за капацитет на улазним тач</w:t>
            </w:r>
            <w:r w:rsidR="00282FBB">
              <w:rPr>
                <w:rFonts w:ascii="Arial Narrow" w:hAnsi="Arial Narrow"/>
                <w:sz w:val="20"/>
                <w:szCs w:val="20"/>
                <w:lang w:val="sr-Cyrl-RS"/>
              </w:rPr>
              <w:t>акама из подземних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складишта природног гаса</w:t>
            </w:r>
            <w:r w:rsidR="00282FBB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  <w:p w14:paraId="75245529" w14:textId="77777777" w:rsidR="007E2B07" w:rsidRPr="00B82D06" w:rsidRDefault="007E2B07" w:rsidP="00B82D06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color w:val="00B050"/>
                <w:sz w:val="20"/>
                <w:szCs w:val="20"/>
                <w:lang w:val="sr-Cyrl-RS"/>
              </w:rPr>
            </w:pPr>
            <w:r w:rsidRPr="00B82D06">
              <w:rPr>
                <w:rFonts w:ascii="Arial Narrow" w:hAnsi="Arial Narrow"/>
                <w:b/>
                <w:color w:val="00B050"/>
                <w:sz w:val="20"/>
                <w:szCs w:val="20"/>
                <w:lang w:val="sr-Cyrl-RS"/>
              </w:rPr>
              <w:t>Одговор АЕРС:</w:t>
            </w:r>
          </w:p>
          <w:p w14:paraId="0DE3EA01" w14:textId="26CF36F7" w:rsidR="001A59C3" w:rsidRPr="00B82D06" w:rsidRDefault="001A59C3" w:rsidP="00B82D06">
            <w:pPr>
              <w:spacing w:before="120" w:after="120" w:line="240" w:lineRule="auto"/>
              <w:jc w:val="both"/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</w:pP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Уредб</w:t>
            </w:r>
            <w:r w:rsidR="00DB5B6F"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а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 (ЕУ) 2022/1032 Европског парламенета и Савета од 29. јуна 2022. године у вези са гасним складиштима још није имплементиран</w:t>
            </w:r>
            <w:r w:rsidR="00DB5B6F"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а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 у законодавство енергетике </w:t>
            </w:r>
            <w:r w:rsidR="00DB5B6F"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Републике 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Србије. Али, примена дела Уредбе (ЕУ) 2022/1032 која се односи на попуст до 100% за тарифе за капацитет на транспортном систему на улазним тачакама из, и излазним тачкама у подземна складишта природног гаса је суштински иста са попустом од најмање 50% у Уредби. Односно попуст за тарифе за капацитет на транспортном систему на улазним тачакама из, и излазним тачкама у подземна складишта природног гаса ће износити најмање 50%, а највише 100%.</w:t>
            </w:r>
          </w:p>
          <w:p w14:paraId="7B94CF3F" w14:textId="4737E856" w:rsidR="00395F20" w:rsidRPr="00B82D06" w:rsidRDefault="00395F20" w:rsidP="00B82D06">
            <w:pPr>
              <w:spacing w:before="120" w:after="120" w:line="240" w:lineRule="auto"/>
              <w:jc w:val="both"/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</w:pP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Попусти за тарифе за капацитет на транспортном систему на улазним тачакама из, и излазним тачкама у подземна складишта природног гаса се разлику</w:t>
            </w:r>
            <w:r w:rsidR="00BD5D15"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ју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 по земљама Е</w:t>
            </w:r>
            <w:r w:rsidR="00BF65B6"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У у окружењу. Мађарска, Хрватска и Бугарска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 имају 100% попуста на транспортне тарифе за капацитет на  излазним тачкама у подземна складишта природног гаса и попуст од 100% (Бугарска) или 90% (Мађарска</w:t>
            </w:r>
            <w:r w:rsidR="00BF65B6"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 и Хрватска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) на транспортне тарифе за капацитет на улазним тачакама из подземних складишта природног гаса. </w:t>
            </w:r>
          </w:p>
          <w:p w14:paraId="16DFAE82" w14:textId="49E5A8B7" w:rsidR="00CA23B5" w:rsidRPr="00B82D06" w:rsidRDefault="00BD5D15" w:rsidP="00B82D06">
            <w:pPr>
              <w:spacing w:before="120" w:after="120" w:line="240" w:lineRule="auto"/>
              <w:jc w:val="both"/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</w:pP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Транспортни системи за природни гас у Србији су повезани са транспортним системима Мађарске и Бугарске тако да попусти у Србији </w:t>
            </w:r>
            <w:r w:rsidR="00BF65B6"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за тарифе за капацитет на транспортном систему на улазним тачакама из, и излазним тачкама у подземна складишта природног гаса 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треба да буду слични попустима у Мађарској и Бугарској. </w:t>
            </w:r>
          </w:p>
          <w:p w14:paraId="1E366634" w14:textId="79A1C173" w:rsidR="007E2B07" w:rsidRDefault="00D45952" w:rsidP="00B82D06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С обзиром на значајне промене у изворима</w:t>
            </w:r>
            <w:r w:rsidR="0012209D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и</w:t>
            </w:r>
            <w:r w:rsidR="00EC0A18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</w:t>
            </w: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прав</w:t>
            </w:r>
            <w:r w:rsidR="00EC0A18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цима</w:t>
            </w:r>
            <w:r w:rsidR="00F309A7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снабдевања и велик</w:t>
            </w:r>
            <w:r w:rsidR="00F309A7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a</w:t>
            </w: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</w:t>
            </w:r>
            <w:r w:rsidR="00F309A7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повећањ</w:t>
            </w:r>
            <w:r w:rsidR="00F309A7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</w:rPr>
              <w:t>a</w:t>
            </w: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цена природног гаса у претходним годинама</w:t>
            </w:r>
            <w:r w:rsidR="00EC0A18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у Европи</w:t>
            </w: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, с</w:t>
            </w:r>
            <w:r w:rsidR="00BD5D15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игурност снабдевања приро</w:t>
            </w: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дним гасом је изузетно значајно питање ка</w:t>
            </w:r>
            <w:r w:rsidR="00DB5B6F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к</w:t>
            </w: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о за Србију, тако и за земље у окружењу. Са циљем да се стимулише повећање капацитета ПСГ Банатски Двор</w:t>
            </w:r>
            <w:r w:rsidR="00BF65B6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и тиме </w:t>
            </w:r>
            <w:r w:rsidR="00780224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повећа </w:t>
            </w:r>
            <w:r w:rsidR="00BF65B6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сигурност снабдевања природним гасом у Србији</w:t>
            </w: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, утврђ</w:t>
            </w:r>
            <w:r w:rsidR="00BF65B6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ен</w:t>
            </w: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</w:t>
            </w:r>
            <w:r w:rsidR="00BF65B6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је</w:t>
            </w: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попуст од </w:t>
            </w:r>
            <w:r w:rsidR="00845FCE"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>90</w:t>
            </w: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% 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на транспортне тарифе за капацитет на  излазним тачкама у подземна складишта природног гаса и попуст од </w:t>
            </w:r>
            <w:r w:rsidR="00845FCE"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90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% на транспортне тарифе за капацитет на улазним тачакама из подземних складишта природног гаса.</w:t>
            </w:r>
          </w:p>
        </w:tc>
      </w:tr>
      <w:tr w:rsidR="0059327C" w14:paraId="0C8065E2" w14:textId="77777777">
        <w:trPr>
          <w:trHeight w:val="948"/>
        </w:trPr>
        <w:tc>
          <w:tcPr>
            <w:tcW w:w="909" w:type="dxa"/>
            <w:vAlign w:val="center"/>
          </w:tcPr>
          <w:p w14:paraId="7AAEC803" w14:textId="77777777" w:rsidR="0059327C" w:rsidRDefault="00EF62B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660" w:type="dxa"/>
            <w:shd w:val="clear" w:color="auto" w:fill="FFFFFF"/>
          </w:tcPr>
          <w:p w14:paraId="1E3C172C" w14:textId="6F3B22D7" w:rsidR="00641917" w:rsidRDefault="00641917" w:rsidP="00B82D06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У складу са </w:t>
            </w:r>
            <w:r w:rsidR="000D4B53">
              <w:rPr>
                <w:rFonts w:ascii="Arial Narrow" w:hAnsi="Arial Narrow"/>
                <w:sz w:val="20"/>
                <w:szCs w:val="20"/>
                <w:lang w:val="sr-Cyrl-RS"/>
              </w:rPr>
              <w:t>Методологијом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за утврђивање тарифа за транспорт природног гаса, како би се обезбедио недис</w:t>
            </w:r>
            <w:r w:rsidR="005A153F">
              <w:rPr>
                <w:rFonts w:ascii="Arial Narrow" w:hAnsi="Arial Narrow"/>
                <w:sz w:val="20"/>
                <w:szCs w:val="20"/>
                <w:lang w:val="sr-Cyrl-RS"/>
              </w:rPr>
              <w:t>криминаторни приступ и искључио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негативан финансијски утицај на снабдеваче у случају било каквог повећања трошкова транспорта, повећање тарифа се неће вршити пре истека регулаторног периода. Т</w:t>
            </w:r>
            <w:r w:rsidR="005A153F">
              <w:rPr>
                <w:rFonts w:ascii="Arial Narrow" w:hAnsi="Arial Narrow"/>
                <w:sz w:val="20"/>
                <w:szCs w:val="20"/>
                <w:lang w:val="sr-Cyrl-RS"/>
              </w:rPr>
              <w:t>р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енутна формулација документа не обезбеђује непром</w:t>
            </w:r>
            <w:r w:rsidR="005A153F">
              <w:rPr>
                <w:rFonts w:ascii="Arial Narrow" w:hAnsi="Arial Narrow"/>
                <w:sz w:val="20"/>
                <w:szCs w:val="20"/>
                <w:lang w:val="sr-Cyrl-RS"/>
              </w:rPr>
              <w:t>е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нљивост предложених тарифа и </w:t>
            </w:r>
            <w:r w:rsidR="00DB5B6F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оне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могу бити промењене од стране ОТС као део годишње</w:t>
            </w:r>
            <w:r w:rsidR="005A153F">
              <w:rPr>
                <w:rFonts w:ascii="Arial Narrow" w:hAnsi="Arial Narrow"/>
                <w:sz w:val="20"/>
                <w:szCs w:val="20"/>
                <w:lang w:val="sr-Cyrl-RS"/>
              </w:rPr>
              <w:t>г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прегледа основа за обрачун тарифа.</w:t>
            </w:r>
          </w:p>
          <w:p w14:paraId="0251C509" w14:textId="77777777" w:rsidR="007E2B07" w:rsidRPr="00B82D06" w:rsidRDefault="007E2B07" w:rsidP="00B82D06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color w:val="00B050"/>
                <w:sz w:val="20"/>
                <w:szCs w:val="20"/>
                <w:lang w:val="sr-Cyrl-RS"/>
              </w:rPr>
            </w:pPr>
            <w:r w:rsidRPr="00B82D06">
              <w:rPr>
                <w:rFonts w:ascii="Arial Narrow" w:hAnsi="Arial Narrow"/>
                <w:b/>
                <w:color w:val="00B050"/>
                <w:sz w:val="20"/>
                <w:szCs w:val="20"/>
                <w:lang w:val="sr-Cyrl-RS"/>
              </w:rPr>
              <w:t>Одговор АЕРС:</w:t>
            </w:r>
          </w:p>
          <w:p w14:paraId="160099C7" w14:textId="1BB15B5B" w:rsidR="007E2B07" w:rsidRPr="00B82D06" w:rsidRDefault="00342C1D" w:rsidP="00B82D06">
            <w:pPr>
              <w:spacing w:before="120" w:after="120" w:line="240" w:lineRule="auto"/>
              <w:jc w:val="both"/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</w:pP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Наведени предлог није прихватљив из разлога јер је Методологијом предвиђена промена поравнатих прихода од услуге транспорта, односно тарифа, током регулаторног периода само у изузетном случају (није опште правило) и то на образложен захтев оператора транспортних система чију оправданост цени Агенција и под условом да су настале изузетне околности које узрокују трошкове које оператор транспортног система није могао да планира или спречи а које утичу више од 10% на висину прихода од услуга транспорта за тарифни период. Такође, АЕРС је имала у виду да се ради о првом регулаторном периоду по новој Методологији, да оператори транспортних система у Републици Србији немају релевантног искуства у дугорочном планирању (регулаторни период је временски период у трајању од пет гасних година, изузев првог регулаторног периода који траје три гасне године) и да имају специфични финансијски положај – нису власници система за транспорт природног гаса већ закупци, као и да слична решења постоје и у пракси ЕУ (Република Хрватска на пример).</w:t>
            </w:r>
          </w:p>
          <w:p w14:paraId="301820EB" w14:textId="77777777" w:rsidR="007E2B07" w:rsidRDefault="007E2B07" w:rsidP="00641917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8B395A3" w14:textId="77777777" w:rsidR="007E2B07" w:rsidRDefault="007E2B07" w:rsidP="00641917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327C" w14:paraId="7EDA8CDF" w14:textId="77777777">
        <w:tc>
          <w:tcPr>
            <w:tcW w:w="909" w:type="dxa"/>
            <w:vAlign w:val="center"/>
          </w:tcPr>
          <w:p w14:paraId="34D15682" w14:textId="77777777" w:rsidR="0059327C" w:rsidRDefault="00EF62B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14660" w:type="dxa"/>
            <w:shd w:val="clear" w:color="auto" w:fill="FFFFFF"/>
          </w:tcPr>
          <w:p w14:paraId="5DF09709" w14:textId="77777777" w:rsidR="00327014" w:rsidRDefault="009C00A1" w:rsidP="00B82D06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У складу са </w:t>
            </w:r>
            <w:r w:rsidR="000909AF">
              <w:rPr>
                <w:rFonts w:ascii="Arial Narrow" w:hAnsi="Arial Narrow"/>
                <w:sz w:val="20"/>
                <w:szCs w:val="20"/>
                <w:lang w:val="sr-Cyrl-RS"/>
              </w:rPr>
              <w:t>Уредбом</w:t>
            </w:r>
            <w:r w:rsidR="000909AF" w:rsidRPr="00F12AA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 мрежним правилима </w:t>
            </w:r>
            <w:r w:rsidR="000909AF">
              <w:rPr>
                <w:rFonts w:ascii="Arial Narrow" w:hAnsi="Arial Narrow"/>
                <w:sz w:val="20"/>
                <w:szCs w:val="20"/>
                <w:lang w:val="sr-Cyrl-RS"/>
              </w:rPr>
              <w:t>која се односе на прорачун и расподелу  капацитета</w:t>
            </w:r>
            <w:r w:rsidR="000909AF" w:rsidRPr="00F12AA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за транспорт природног гаса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и </w:t>
            </w:r>
            <w:r w:rsidR="000D4B53">
              <w:rPr>
                <w:rFonts w:ascii="Arial Narrow" w:hAnsi="Arial Narrow"/>
                <w:sz w:val="20"/>
                <w:szCs w:val="20"/>
                <w:lang w:val="sr-Cyrl-RS"/>
              </w:rPr>
              <w:t>са Методологи</w:t>
            </w:r>
            <w:r w:rsidR="009E6DD4">
              <w:rPr>
                <w:rFonts w:ascii="Arial Narrow" w:hAnsi="Arial Narrow"/>
                <w:sz w:val="20"/>
                <w:szCs w:val="20"/>
                <w:lang w:val="sr-Cyrl-RS"/>
              </w:rPr>
              <w:t>јом</w:t>
            </w:r>
            <w:r w:rsidR="000D4B5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за утврђивање тарифа за транспорт природног гаса, постојећа организација уговарања капацитета обезбеђује учесницима на тржишту/снабдевачима да, између осталог, уговарају кварталне, месечне, дневне и унутар- дневне капацитетне производе. У</w:t>
            </w:r>
            <w:r w:rsidR="005A153F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="000D4B5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исто време, српски ОТС-ови још нису имплементирали модуларне пословне апликације за уговрање таквих производа. Стога предлажемо  да се одмах приступи имплементацији ових апликација, као што је </w:t>
            </w:r>
            <w:r w:rsidR="000D4B53">
              <w:rPr>
                <w:rFonts w:ascii="Arial Narrow" w:hAnsi="Arial Narrow"/>
                <w:sz w:val="20"/>
                <w:szCs w:val="20"/>
              </w:rPr>
              <w:t>RBP</w:t>
            </w:r>
            <w:r w:rsidR="000D4B5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регионална платформа, како би процес резервисања капацитета које организују ОТС-ови Србије покрио целокупан асортиман капацитетни</w:t>
            </w:r>
            <w:r w:rsidR="005A153F">
              <w:rPr>
                <w:rFonts w:ascii="Arial Narrow" w:hAnsi="Arial Narrow"/>
                <w:sz w:val="20"/>
                <w:szCs w:val="20"/>
                <w:lang w:val="sr-Cyrl-RS"/>
              </w:rPr>
              <w:t>х</w:t>
            </w:r>
            <w:r w:rsidR="000D4B5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производа преко платформи за резервацију капацитета.   </w:t>
            </w:r>
          </w:p>
          <w:p w14:paraId="71DF1DFE" w14:textId="77777777" w:rsidR="00F12AA5" w:rsidRPr="00B82D06" w:rsidRDefault="00F12AA5" w:rsidP="00B82D06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color w:val="00B050"/>
                <w:sz w:val="20"/>
                <w:szCs w:val="20"/>
                <w:lang w:val="sr-Cyrl-RS"/>
              </w:rPr>
            </w:pPr>
            <w:r w:rsidRPr="00B82D06">
              <w:rPr>
                <w:rFonts w:ascii="Arial Narrow" w:hAnsi="Arial Narrow"/>
                <w:b/>
                <w:color w:val="00B050"/>
                <w:sz w:val="20"/>
                <w:szCs w:val="20"/>
                <w:lang w:val="sr-Cyrl-RS"/>
              </w:rPr>
              <w:t>Одговор АЕРС:</w:t>
            </w:r>
          </w:p>
          <w:p w14:paraId="5094FDD4" w14:textId="44628750" w:rsidR="00F12AA5" w:rsidRDefault="009E6DD4" w:rsidP="00B82D06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Предложена Методологија за одређивање реферетне цене садржи начин формирања цена за све наведене 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капацитетне производе (годишње, кварталне, месечне, дневне и унутар- дневне). Процедура за уговарање капацитетних производа </w:t>
            </w:r>
            <w:r w:rsidR="00F523B4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се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 дефини</w:t>
            </w:r>
            <w:r w:rsidR="00355B63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ше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 у Правилима о раду транспортн</w:t>
            </w:r>
            <w:r w:rsidR="00355B63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>их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 система</w:t>
            </w: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.  </w:t>
            </w: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Latn-RS"/>
              </w:rPr>
              <w:t xml:space="preserve"> </w:t>
            </w:r>
            <w:r w:rsidRPr="00B82D06">
              <w:rPr>
                <w:rFonts w:ascii="Arial Narrow" w:eastAsia="Times New Roman" w:hAnsi="Arial Narrow" w:cs="Courier New"/>
                <w:color w:val="00B050"/>
                <w:sz w:val="20"/>
                <w:szCs w:val="20"/>
                <w:lang w:val="sr-Cyrl-RS"/>
              </w:rPr>
              <w:t xml:space="preserve"> </w:t>
            </w:r>
            <w:r w:rsidRPr="00B82D06">
              <w:rPr>
                <w:rFonts w:ascii="Arial Narrow" w:hAnsi="Arial Narrow"/>
                <w:color w:val="00B05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215B4591" w14:textId="77777777" w:rsidR="0059327C" w:rsidRDefault="0059327C">
      <w:pPr>
        <w:spacing w:before="120" w:after="0" w:line="240" w:lineRule="auto"/>
        <w:rPr>
          <w:rFonts w:ascii="Arial Narrow" w:hAnsi="Arial Narrow"/>
          <w:sz w:val="24"/>
          <w:szCs w:val="24"/>
        </w:rPr>
        <w:sectPr w:rsidR="0059327C">
          <w:footerReference w:type="default" r:id="rId7"/>
          <w:footerReference w:type="first" r:id="rId8"/>
          <w:pgSz w:w="16838" w:h="11906" w:orient="landscape"/>
          <w:pgMar w:top="720" w:right="720" w:bottom="1202" w:left="720" w:header="720" w:footer="482" w:gutter="0"/>
          <w:pgBorders>
            <w:top w:val="single" w:sz="4" w:space="12" w:color="000000"/>
            <w:left w:val="single" w:sz="4" w:space="12" w:color="000000"/>
            <w:bottom w:val="single" w:sz="4" w:space="0" w:color="000000"/>
            <w:right w:val="single" w:sz="4" w:space="12" w:color="000000"/>
          </w:pgBorders>
          <w:pgNumType w:start="1"/>
          <w:cols w:space="720"/>
          <w:docGrid w:linePitch="360"/>
        </w:sectPr>
      </w:pPr>
    </w:p>
    <w:p w14:paraId="45889D93" w14:textId="77777777" w:rsidR="00AF6C3A" w:rsidRPr="00C24D84" w:rsidRDefault="00AF6C3A" w:rsidP="00AF6C3A">
      <w:pPr>
        <w:spacing w:before="120" w:after="0" w:line="240" w:lineRule="auto"/>
        <w:rPr>
          <w:rFonts w:ascii="Arial Narrow" w:hAnsi="Arial Narrow"/>
          <w:b/>
          <w:sz w:val="24"/>
          <w:szCs w:val="24"/>
          <w:lang w:val="sr-Cyrl-RS"/>
        </w:rPr>
      </w:pPr>
      <w:r w:rsidRPr="00C24D84">
        <w:rPr>
          <w:rFonts w:ascii="Arial Narrow" w:hAnsi="Arial Narrow"/>
          <w:b/>
          <w:sz w:val="24"/>
          <w:szCs w:val="24"/>
          <w:lang w:val="sr-Cyrl-RS"/>
        </w:rPr>
        <w:lastRenderedPageBreak/>
        <w:t>ПРИМЕДБЕ</w:t>
      </w:r>
      <w:r>
        <w:rPr>
          <w:rFonts w:ascii="Arial Narrow" w:hAnsi="Arial Narrow"/>
          <w:b/>
          <w:sz w:val="24"/>
          <w:szCs w:val="24"/>
          <w:lang w:val="sr-Cyrl-RS"/>
        </w:rPr>
        <w:t xml:space="preserve"> ПО ЧЛАНОВИМА</w:t>
      </w:r>
    </w:p>
    <w:p w14:paraId="2511D856" w14:textId="77777777" w:rsidR="0059327C" w:rsidRDefault="0059327C">
      <w:pPr>
        <w:spacing w:before="120"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96"/>
        <w:gridCol w:w="2634"/>
        <w:gridCol w:w="5300"/>
        <w:gridCol w:w="6558"/>
      </w:tblGrid>
      <w:tr w:rsidR="00AF6C3A" w14:paraId="0EC6DBBD" w14:textId="77777777">
        <w:tc>
          <w:tcPr>
            <w:tcW w:w="291" w:type="pct"/>
            <w:shd w:val="clear" w:color="auto" w:fill="FFFFCD"/>
            <w:vAlign w:val="center"/>
          </w:tcPr>
          <w:p w14:paraId="38A51D1B" w14:textId="77777777" w:rsidR="00AF6C3A" w:rsidRPr="003A5E10" w:rsidRDefault="00AF6C3A" w:rsidP="00AF6C3A">
            <w:pPr>
              <w:spacing w:before="120" w:after="0" w:line="240" w:lineRule="auto"/>
              <w:jc w:val="center"/>
              <w:rPr>
                <w:b/>
                <w:lang w:val="sr-Cyrl-RS"/>
              </w:rPr>
            </w:pPr>
            <w:r w:rsidRPr="003A5E10">
              <w:rPr>
                <w:b/>
                <w:lang w:val="sr-Cyrl-RS"/>
              </w:rPr>
              <w:t>Р.б.</w:t>
            </w:r>
          </w:p>
        </w:tc>
        <w:tc>
          <w:tcPr>
            <w:tcW w:w="856" w:type="pct"/>
            <w:shd w:val="clear" w:color="auto" w:fill="FFFFCD"/>
            <w:vAlign w:val="center"/>
          </w:tcPr>
          <w:p w14:paraId="315A61B0" w14:textId="77777777" w:rsidR="00AF6C3A" w:rsidRPr="003A5E10" w:rsidRDefault="00AF6C3A" w:rsidP="00AF6C3A">
            <w:pPr>
              <w:spacing w:before="120" w:after="0" w:line="240" w:lineRule="auto"/>
              <w:jc w:val="center"/>
              <w:rPr>
                <w:b/>
                <w:lang w:val="sr-Cyrl-RS"/>
              </w:rPr>
            </w:pPr>
            <w:r w:rsidRPr="003A5E10">
              <w:rPr>
                <w:b/>
                <w:lang w:val="sr-Cyrl-RS"/>
              </w:rPr>
              <w:t>Примедба на</w:t>
            </w:r>
          </w:p>
          <w:p w14:paraId="73625E59" w14:textId="77777777" w:rsidR="00AF6C3A" w:rsidRPr="003A5E10" w:rsidRDefault="00AF6C3A" w:rsidP="00AF6C3A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3A5E10">
              <w:rPr>
                <w:b/>
                <w:lang w:val="sr-Cyrl-RS"/>
              </w:rPr>
              <w:t>члан/тачку/став</w:t>
            </w:r>
          </w:p>
          <w:p w14:paraId="1FCA6C21" w14:textId="77777777" w:rsidR="00AF6C3A" w:rsidRPr="003A5E10" w:rsidRDefault="00AF6C3A" w:rsidP="00AF6C3A">
            <w:pPr>
              <w:spacing w:after="0" w:line="240" w:lineRule="auto"/>
              <w:jc w:val="center"/>
              <w:rPr>
                <w:lang w:val="sr-Cyrl-RS"/>
              </w:rPr>
            </w:pPr>
            <w:r w:rsidRPr="003A5E10">
              <w:rPr>
                <w:lang w:val="sr-Cyrl-RS"/>
              </w:rPr>
              <w:t>(страна)</w:t>
            </w:r>
          </w:p>
        </w:tc>
        <w:tc>
          <w:tcPr>
            <w:tcW w:w="1722" w:type="pct"/>
            <w:shd w:val="clear" w:color="auto" w:fill="FFFFCD"/>
            <w:vAlign w:val="center"/>
          </w:tcPr>
          <w:p w14:paraId="33A2E1C4" w14:textId="77777777" w:rsidR="00AF6C3A" w:rsidRPr="003A5E10" w:rsidRDefault="00AF6C3A" w:rsidP="00AF6C3A">
            <w:pPr>
              <w:spacing w:before="120" w:after="0" w:line="240" w:lineRule="auto"/>
              <w:jc w:val="center"/>
              <w:rPr>
                <w:b/>
                <w:lang w:val="sr-Cyrl-RS"/>
              </w:rPr>
            </w:pPr>
            <w:r w:rsidRPr="003A5E10">
              <w:rPr>
                <w:b/>
                <w:lang w:val="sr-Cyrl-RS"/>
              </w:rPr>
              <w:t>Треба да гласи</w:t>
            </w:r>
          </w:p>
        </w:tc>
        <w:tc>
          <w:tcPr>
            <w:tcW w:w="2131" w:type="pct"/>
            <w:shd w:val="clear" w:color="auto" w:fill="FFFFCD"/>
            <w:vAlign w:val="center"/>
          </w:tcPr>
          <w:p w14:paraId="0ABBE363" w14:textId="77777777" w:rsidR="00AF6C3A" w:rsidRDefault="00AF6C3A" w:rsidP="00AF6C3A">
            <w:pPr>
              <w:spacing w:before="120" w:after="0" w:line="240" w:lineRule="auto"/>
              <w:jc w:val="center"/>
              <w:rPr>
                <w:b/>
                <w:lang w:val="sr-Cyrl-RS"/>
              </w:rPr>
            </w:pPr>
            <w:r w:rsidRPr="003A5E10">
              <w:rPr>
                <w:b/>
                <w:lang w:val="sr-Cyrl-RS"/>
              </w:rPr>
              <w:t>Напомена предлагача</w:t>
            </w:r>
            <w:r w:rsidRPr="0074711C">
              <w:rPr>
                <w:b/>
                <w:lang w:val="sr-Cyrl-RS"/>
              </w:rPr>
              <w:t xml:space="preserve"> </w:t>
            </w:r>
          </w:p>
          <w:p w14:paraId="650F15DE" w14:textId="77777777" w:rsidR="00AF6C3A" w:rsidRPr="0074711C" w:rsidRDefault="00AF6C3A" w:rsidP="00AF6C3A">
            <w:pPr>
              <w:spacing w:before="120"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(шта се постиже предложеном променом)</w:t>
            </w:r>
          </w:p>
        </w:tc>
      </w:tr>
      <w:tr w:rsidR="0059327C" w14:paraId="1CB9A031" w14:textId="77777777">
        <w:trPr>
          <w:trHeight w:val="510"/>
        </w:trPr>
        <w:tc>
          <w:tcPr>
            <w:tcW w:w="291" w:type="pct"/>
            <w:vAlign w:val="center"/>
          </w:tcPr>
          <w:p w14:paraId="7DE89F53" w14:textId="77777777" w:rsidR="0059327C" w:rsidRDefault="00EF62B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SEQ Илустрација \* ARABIC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</w:tcPr>
          <w:p w14:paraId="60351FCC" w14:textId="77777777" w:rsidR="005F5054" w:rsidRPr="005F5054" w:rsidRDefault="005F5054" w:rsidP="005F5054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5F5054">
              <w:rPr>
                <w:rFonts w:ascii="Arial Narrow" w:hAnsi="Arial Narrow"/>
                <w:sz w:val="20"/>
                <w:szCs w:val="20"/>
                <w:lang w:val="sr-Latn-CS"/>
              </w:rPr>
              <w:t>V</w:t>
            </w:r>
            <w:r w:rsidRPr="005F5054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 w:rsidRPr="005F5054">
              <w:rPr>
                <w:rFonts w:ascii="Arial Narrow" w:hAnsi="Arial Narrow"/>
                <w:sz w:val="20"/>
                <w:szCs w:val="20"/>
                <w:lang w:val="sr-Cyrl-CS"/>
              </w:rPr>
              <w:t>2.Тарифни елементи за капацитет за излазе из транспортног система</w:t>
            </w:r>
          </w:p>
          <w:p w14:paraId="7111BDA2" w14:textId="77777777" w:rsidR="0059327C" w:rsidRPr="005F5054" w:rsidRDefault="0059327C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2" w:type="pct"/>
          </w:tcPr>
          <w:p w14:paraId="50A4D89A" w14:textId="77777777" w:rsidR="0059327C" w:rsidRDefault="00D83777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EF62B4">
              <w:rPr>
                <w:rFonts w:ascii="Arial Narrow" w:hAnsi="Arial Narrow"/>
                <w:sz w:val="20"/>
                <w:szCs w:val="20"/>
              </w:rPr>
              <w:t>INTE</w:t>
            </w:r>
            <w:r w:rsidR="00EF62B4">
              <w:rPr>
                <w:rFonts w:ascii="Arial Narrow" w:hAnsi="Arial Narrow"/>
                <w:color w:val="FF0000"/>
                <w:sz w:val="20"/>
                <w:szCs w:val="20"/>
              </w:rPr>
              <w:t>R</w:t>
            </w:r>
            <w:r>
              <w:rPr>
                <w:rFonts w:ascii="Arial Narrow" w:hAnsi="Arial Narrow"/>
                <w:sz w:val="20"/>
                <w:szCs w:val="20"/>
              </w:rPr>
              <w:t>CONNECTOR</w:t>
            </w:r>
            <w:r w:rsidR="00EF62B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F166363" w14:textId="77777777" w:rsidR="0059327C" w:rsidRDefault="0059327C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131" w:type="pct"/>
          </w:tcPr>
          <w:p w14:paraId="78EFA5D4" w14:textId="77777777" w:rsidR="0059327C" w:rsidRPr="00F339EA" w:rsidRDefault="005F5054">
            <w:pPr>
              <w:spacing w:before="120" w:after="120" w:line="240" w:lineRule="auto"/>
              <w:rPr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Словна грешка у енглеској верзији на </w:t>
            </w:r>
            <w:r w:rsidR="00D83777">
              <w:rPr>
                <w:rFonts w:ascii="Arial Narrow" w:hAnsi="Arial Narrow"/>
                <w:sz w:val="20"/>
                <w:szCs w:val="20"/>
                <w:lang w:val="sr-Cyrl-RS"/>
              </w:rPr>
              <w:t>два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места у поглављу </w:t>
            </w:r>
            <w:r w:rsidRPr="005F5054">
              <w:rPr>
                <w:rFonts w:ascii="Arial Narrow" w:hAnsi="Arial Narrow"/>
                <w:sz w:val="20"/>
                <w:szCs w:val="20"/>
                <w:lang w:val="sr-Latn-CS"/>
              </w:rPr>
              <w:t>V</w:t>
            </w:r>
            <w:r w:rsidRPr="005F5054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 w:rsidRPr="005F5054">
              <w:rPr>
                <w:rFonts w:ascii="Arial Narrow" w:hAnsi="Arial Narrow"/>
                <w:sz w:val="20"/>
                <w:szCs w:val="20"/>
                <w:lang w:val="sr-Cyrl-CS"/>
              </w:rPr>
              <w:t>2.</w:t>
            </w:r>
            <w:r w:rsidR="00F339EA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(у првом и трећем ставу) </w:t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t xml:space="preserve">написано је 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INTECONNECTOR</w:t>
            </w:r>
            <w:r w:rsidR="00F339EA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</w:t>
            </w:r>
            <w:r w:rsidR="00F339EA">
              <w:rPr>
                <w:rFonts w:ascii="Arial Narrow" w:hAnsi="Arial Narrow"/>
                <w:sz w:val="20"/>
                <w:szCs w:val="20"/>
                <w:lang w:val="sr-Cyrl-RS"/>
              </w:rPr>
              <w:t>уместо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 xml:space="preserve"> INTE</w:t>
            </w:r>
            <w:r w:rsidRPr="00F339EA">
              <w:rPr>
                <w:rFonts w:ascii="Arial Narrow" w:hAnsi="Arial Narrow"/>
                <w:color w:val="FF0000"/>
                <w:sz w:val="20"/>
                <w:szCs w:val="20"/>
                <w:lang w:val="sr-Latn-RS"/>
              </w:rPr>
              <w:t>R</w:t>
            </w:r>
            <w:r>
              <w:rPr>
                <w:rFonts w:ascii="Arial Narrow" w:hAnsi="Arial Narrow"/>
                <w:sz w:val="20"/>
                <w:szCs w:val="20"/>
                <w:lang w:val="sr-Latn-RS"/>
              </w:rPr>
              <w:t>CONNECTOR</w:t>
            </w:r>
            <w:r w:rsidR="00F339EA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</w:tc>
      </w:tr>
    </w:tbl>
    <w:p w14:paraId="18433A1D" w14:textId="77777777" w:rsidR="0059327C" w:rsidRDefault="0059327C">
      <w:pPr>
        <w:spacing w:before="120" w:after="0" w:line="240" w:lineRule="auto"/>
        <w:rPr>
          <w:rFonts w:ascii="Arial Narrow" w:hAnsi="Arial Narrow"/>
          <w:color w:val="002060"/>
          <w:sz w:val="24"/>
          <w:szCs w:val="24"/>
        </w:rPr>
      </w:pPr>
    </w:p>
    <w:sectPr w:rsidR="0059327C">
      <w:footerReference w:type="default" r:id="rId9"/>
      <w:pgSz w:w="16838" w:h="11906" w:orient="landscape"/>
      <w:pgMar w:top="720" w:right="720" w:bottom="1200" w:left="720" w:header="720" w:footer="480" w:gutter="0"/>
      <w:pgBorders>
        <w:top w:val="single" w:sz="4" w:space="12" w:color="000000"/>
        <w:left w:val="single" w:sz="4" w:space="12" w:color="000000"/>
        <w:bottom w:val="single" w:sz="4" w:space="0" w:color="000000"/>
        <w:right w:val="single" w:sz="4" w:space="12" w:color="00000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2A6A0" w14:textId="77777777" w:rsidR="00324249" w:rsidRDefault="00324249">
      <w:pPr>
        <w:spacing w:after="0" w:line="240" w:lineRule="auto"/>
      </w:pPr>
      <w:r>
        <w:separator/>
      </w:r>
    </w:p>
  </w:endnote>
  <w:endnote w:type="continuationSeparator" w:id="0">
    <w:p w14:paraId="281CC80F" w14:textId="77777777" w:rsidR="00324249" w:rsidRDefault="0032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8986" w14:textId="613E17C0" w:rsidR="00BD5D15" w:rsidRPr="0054230D" w:rsidRDefault="00BD5D15" w:rsidP="0054230D">
    <w:pPr>
      <w:pStyle w:val="Footer"/>
      <w:jc w:val="center"/>
      <w:rPr>
        <w:rFonts w:ascii="Arial Narrow" w:hAnsi="Arial Narrow" w:cs="Arial Narrow"/>
      </w:rPr>
    </w:pPr>
    <w:r>
      <w:rPr>
        <w:rFonts w:ascii="Arial Narrow" w:eastAsia="Arial Narrow" w:hAnsi="Arial Narrow" w:cs="Arial Narrow"/>
      </w:rPr>
      <w:fldChar w:fldCharType="begin"/>
    </w:r>
    <w:r>
      <w:rPr>
        <w:rFonts w:ascii="Arial Narrow" w:eastAsia="Arial Narrow" w:hAnsi="Arial Narrow" w:cs="Arial Narrow"/>
      </w:rPr>
      <w:instrText>PAGE \* MERGEFORMAT</w:instrText>
    </w:r>
    <w:r>
      <w:rPr>
        <w:rFonts w:ascii="Arial Narrow" w:eastAsia="Arial Narrow" w:hAnsi="Arial Narrow" w:cs="Arial Narrow"/>
      </w:rPr>
      <w:fldChar w:fldCharType="separate"/>
    </w:r>
    <w:r w:rsidR="00F309A7">
      <w:rPr>
        <w:rFonts w:ascii="Arial Narrow" w:eastAsia="Arial Narrow" w:hAnsi="Arial Narrow" w:cs="Arial Narrow"/>
        <w:noProof/>
      </w:rPr>
      <w:t>3</w:t>
    </w:r>
    <w:r>
      <w:rPr>
        <w:rFonts w:ascii="Arial Narrow" w:eastAsia="Arial Narrow" w:hAnsi="Arial Narrow" w:cs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69588" w14:textId="77777777" w:rsidR="00BD5D15" w:rsidRDefault="00BD5D15">
    <w:pPr>
      <w:pStyle w:val="Footer"/>
      <w:jc w:val="center"/>
      <w:rPr>
        <w:rFonts w:ascii="Arial Narrow" w:hAnsi="Arial Narrow" w:cs="Arial Narrow"/>
      </w:rPr>
    </w:pPr>
    <w:r>
      <w:rPr>
        <w:rFonts w:ascii="Arial Narrow" w:eastAsia="Arial Narrow" w:hAnsi="Arial Narrow" w:cs="Arial Narrow"/>
      </w:rPr>
      <w:fldChar w:fldCharType="begin"/>
    </w:r>
    <w:r>
      <w:rPr>
        <w:rFonts w:ascii="Arial Narrow" w:eastAsia="Arial Narrow" w:hAnsi="Arial Narrow" w:cs="Arial Narrow"/>
      </w:rPr>
      <w:instrText>PAGE \* MERGEFORMAT</w:instrText>
    </w:r>
    <w:r>
      <w:rPr>
        <w:rFonts w:ascii="Arial Narrow" w:eastAsia="Arial Narrow" w:hAnsi="Arial Narrow" w:cs="Arial Narrow"/>
      </w:rPr>
      <w:fldChar w:fldCharType="separate"/>
    </w:r>
    <w:r>
      <w:rPr>
        <w:rFonts w:ascii="Arial Narrow" w:eastAsia="Arial Narrow" w:hAnsi="Arial Narrow" w:cs="Arial Narrow"/>
      </w:rPr>
      <w:t>1</w:t>
    </w:r>
    <w:r>
      <w:rPr>
        <w:rFonts w:ascii="Arial Narrow" w:eastAsia="Arial Narrow" w:hAnsi="Arial Narrow" w:cs="Arial Narrow"/>
      </w:rPr>
      <w:fldChar w:fldCharType="end"/>
    </w:r>
  </w:p>
  <w:p w14:paraId="1F13720D" w14:textId="77777777" w:rsidR="00BD5D15" w:rsidRDefault="00BD5D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DDB85" w14:textId="77777777" w:rsidR="00BD5D15" w:rsidRDefault="00BD5D15">
    <w:pPr>
      <w:pStyle w:val="Footer"/>
      <w:jc w:val="center"/>
      <w:rPr>
        <w:rFonts w:ascii="Arial Narrow" w:hAnsi="Arial Narrow" w:cs="Arial Narrow"/>
      </w:rPr>
    </w:pPr>
    <w:r>
      <w:rPr>
        <w:rFonts w:ascii="Arial Narrow" w:hAnsi="Arial Narrow" w:cs="Arial Narrow"/>
      </w:rPr>
      <w:t>2</w:t>
    </w:r>
  </w:p>
  <w:p w14:paraId="4D4B6BD6" w14:textId="77777777" w:rsidR="00BD5D15" w:rsidRDefault="00BD5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E08E3" w14:textId="77777777" w:rsidR="00324249" w:rsidRDefault="00324249">
      <w:pPr>
        <w:spacing w:after="0" w:line="240" w:lineRule="auto"/>
      </w:pPr>
      <w:r>
        <w:separator/>
      </w:r>
    </w:p>
  </w:footnote>
  <w:footnote w:type="continuationSeparator" w:id="0">
    <w:p w14:paraId="391A074A" w14:textId="77777777" w:rsidR="00324249" w:rsidRDefault="00324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7C"/>
    <w:rsid w:val="0008772D"/>
    <w:rsid w:val="000909AF"/>
    <w:rsid w:val="000D4B53"/>
    <w:rsid w:val="0010262F"/>
    <w:rsid w:val="0012209D"/>
    <w:rsid w:val="001A59C3"/>
    <w:rsid w:val="001C0310"/>
    <w:rsid w:val="001D0EC3"/>
    <w:rsid w:val="001F5218"/>
    <w:rsid w:val="00282FBB"/>
    <w:rsid w:val="00324249"/>
    <w:rsid w:val="00327014"/>
    <w:rsid w:val="00342C1D"/>
    <w:rsid w:val="00355B63"/>
    <w:rsid w:val="00395F20"/>
    <w:rsid w:val="003C1015"/>
    <w:rsid w:val="00442C1C"/>
    <w:rsid w:val="00445643"/>
    <w:rsid w:val="004F6238"/>
    <w:rsid w:val="005272C3"/>
    <w:rsid w:val="0054230D"/>
    <w:rsid w:val="005711D9"/>
    <w:rsid w:val="0059327C"/>
    <w:rsid w:val="005A153F"/>
    <w:rsid w:val="005F5054"/>
    <w:rsid w:val="00602EBD"/>
    <w:rsid w:val="00641917"/>
    <w:rsid w:val="0066283E"/>
    <w:rsid w:val="00676DC4"/>
    <w:rsid w:val="006B6BB8"/>
    <w:rsid w:val="00734171"/>
    <w:rsid w:val="00780224"/>
    <w:rsid w:val="007E2B07"/>
    <w:rsid w:val="00812BF3"/>
    <w:rsid w:val="00845FCE"/>
    <w:rsid w:val="0086446B"/>
    <w:rsid w:val="00876290"/>
    <w:rsid w:val="00920CE8"/>
    <w:rsid w:val="00956841"/>
    <w:rsid w:val="009C00A1"/>
    <w:rsid w:val="009E6DD4"/>
    <w:rsid w:val="00A70F35"/>
    <w:rsid w:val="00A96F77"/>
    <w:rsid w:val="00AF6C3A"/>
    <w:rsid w:val="00B43776"/>
    <w:rsid w:val="00B82D06"/>
    <w:rsid w:val="00BD5D15"/>
    <w:rsid w:val="00BF65B6"/>
    <w:rsid w:val="00C208E9"/>
    <w:rsid w:val="00C75C8F"/>
    <w:rsid w:val="00CA23B5"/>
    <w:rsid w:val="00D01288"/>
    <w:rsid w:val="00D45952"/>
    <w:rsid w:val="00D63DBF"/>
    <w:rsid w:val="00D83777"/>
    <w:rsid w:val="00DB11A6"/>
    <w:rsid w:val="00DB5B6F"/>
    <w:rsid w:val="00E23E67"/>
    <w:rsid w:val="00E302AC"/>
    <w:rsid w:val="00E76516"/>
    <w:rsid w:val="00E939A8"/>
    <w:rsid w:val="00EA2B84"/>
    <w:rsid w:val="00EC0A18"/>
    <w:rsid w:val="00EF4C71"/>
    <w:rsid w:val="00EF62B4"/>
    <w:rsid w:val="00F12AA5"/>
    <w:rsid w:val="00F309A7"/>
    <w:rsid w:val="00F339EA"/>
    <w:rsid w:val="00F523B4"/>
    <w:rsid w:val="00FB3388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9C1066"/>
  <w15:docId w15:val="{A16D2CEB-F103-4371-AE69-24D37732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CaptionChar">
    <w:name w:val="Caption Char"/>
    <w:uiPriority w:val="99"/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en-US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CharChar1">
    <w:name w:val="Char Char1"/>
    <w:rPr>
      <w:sz w:val="22"/>
      <w:szCs w:val="22"/>
    </w:rPr>
  </w:style>
  <w:style w:type="character" w:customStyle="1" w:styleId="CharChar">
    <w:name w:val="Cha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ar-SA"/>
    </w:rPr>
  </w:style>
  <w:style w:type="character" w:customStyle="1" w:styleId="FooterChar1">
    <w:name w:val="Footer Char1"/>
    <w:link w:val="Footer"/>
    <w:uiPriority w:val="99"/>
    <w:rPr>
      <w:rFonts w:ascii="Calibri" w:eastAsia="Calibri" w:hAnsi="Calibri"/>
      <w:sz w:val="22"/>
      <w:szCs w:val="22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4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4171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734171"/>
  </w:style>
  <w:style w:type="character" w:styleId="CommentReference">
    <w:name w:val="annotation reference"/>
    <w:basedOn w:val="DefaultParagraphFont"/>
    <w:uiPriority w:val="99"/>
    <w:semiHidden/>
    <w:unhideWhenUsed/>
    <w:rsid w:val="00DB5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B6F"/>
    <w:rPr>
      <w:rFonts w:ascii="Calibri" w:eastAsia="Calibri" w:hAnsi="Calibri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6F"/>
    <w:rPr>
      <w:rFonts w:ascii="Calibri" w:eastAsia="Calibri" w:hAnsi="Calibri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rs@aers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АЕРС  -  Јавна консултација о предлогу акта</vt:lpstr>
    </vt:vector>
  </TitlesOfParts>
  <Company>AERS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АЕРС  -  Јавна консултација о предлогу акта</dc:title>
  <dc:creator>Dijana Unkovic</dc:creator>
  <cp:lastModifiedBy>AERS</cp:lastModifiedBy>
  <cp:revision>15</cp:revision>
  <dcterms:created xsi:type="dcterms:W3CDTF">2024-06-13T07:50:00Z</dcterms:created>
  <dcterms:modified xsi:type="dcterms:W3CDTF">2025-02-06T11:49:00Z</dcterms:modified>
  <cp:version>983040</cp:version>
</cp:coreProperties>
</file>